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E3C04">
      <w:pPr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30 мая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 xml:space="preserve"> 2025 г.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- после</w:t>
      </w:r>
      <w:bookmarkStart w:id="0" w:name="_GoBack"/>
      <w:bookmarkEnd w:id="0"/>
      <w:r>
        <w:rPr>
          <w:rFonts w:ascii="Times New Roman" w:hAnsi="Times New Roman" w:eastAsia="Calibri" w:cs="Times New Roman"/>
          <w:b/>
          <w:sz w:val="24"/>
          <w:szCs w:val="24"/>
        </w:rPr>
        <w:t>дний день подачи уведомления в Роскомнадзор</w:t>
      </w:r>
    </w:p>
    <w:p w14:paraId="40EB027B">
      <w:pPr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Любая НКО является оператором персональных данных.  Вы — оператор, если получаете от клиентов: ФИО, номер телефона, паспортные данные, адрес или email и другую информацию, позволяющую идентифицировать человека.</w:t>
      </w:r>
    </w:p>
    <w:p w14:paraId="72311419">
      <w:pPr>
        <w:ind w:left="0" w:leftChars="0" w:firstLine="660" w:firstLineChars="275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>С 30 мая 2025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  <w:lang w:val="ru-RU"/>
        </w:rPr>
        <w:t xml:space="preserve"> года</w:t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 все операторы должны быть в реестре. Если уведомления нет – могут запросить объяснение, назначить проверку или привлечь к административной ответственности (возможен штраф до 300 тыс. руб.).</w:t>
      </w:r>
    </w:p>
    <w:p w14:paraId="19E9C294">
      <w:pPr>
        <w:ind w:left="0" w:leftChars="0" w:firstLine="660" w:firstLineChars="27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  <w:t xml:space="preserve">Организации необходимо уведомить территориальный орган Роскомнадзора до начала обработки персональных данных сотрудников и клиентов. Если направить уведомление в Роскомнадзор с момента начала обработки данных с прошедшего периода штрафных санкций не будет. </w:t>
      </w:r>
      <w:r>
        <w:rPr>
          <w:rFonts w:ascii="Times New Roman" w:hAnsi="Times New Roman" w:eastAsia="Calibri" w:cs="Times New Roman"/>
          <w:sz w:val="24"/>
          <w:szCs w:val="24"/>
        </w:rPr>
        <w:t>Наличие в компании одного сотрудника, руководителя от подачи уведомления в Роскомнадзор не освобождает.</w:t>
      </w:r>
    </w:p>
    <w:p w14:paraId="629D897B">
      <w:pPr>
        <w:shd w:val="clear" w:color="auto" w:fill="FFFFFF"/>
        <w:ind w:left="0" w:leftChars="0" w:firstLine="660" w:firstLineChars="2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НКО, как и любое другое юридическое лицо, является оператором персональных данных с момента фактического начала их обработки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Существует распространенное заблуждение, что НКО становятся операторами персональных данных с момента направления в Федеральную службу по надзору в сфере связи, информационных технологий и массовых коммуникаций (Роскомнадзор) уведомления об обработке персональных данных, которое предусмотрено ст. 22 ФЗ «О персональных данных». С точки зрения закона это неверно, т.к. все обязанности оператора персональных данных возникают у НКО фактически с момента создания организации, поскольку уже в это время она начинает обрабатывать персональные данные своих учредителей, членов, работников и т.д.</w:t>
      </w:r>
    </w:p>
    <w:p w14:paraId="2C72F164">
      <w:pPr>
        <w:shd w:val="clear" w:color="auto" w:fill="FFFFFF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Посмотреть, есть ли ваша организация в реестре операторов, осуществляющих обработку персональных данных, можно по ссылке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"https://pd.rkn.gov.ru/operators-registry/operators-list/"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https://pd.rkn.gov.ru/operators-registry/operators-list/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2D000D">
      <w:pPr>
        <w:pStyle w:val="6"/>
        <w:shd w:val="clear" w:color="auto" w:fill="FFFFFF"/>
        <w:jc w:val="both"/>
        <w:rPr>
          <w:color w:val="222222"/>
        </w:rPr>
      </w:pPr>
      <w:r>
        <w:rPr>
          <w:b/>
          <w:color w:val="222222"/>
          <w:u w:val="single"/>
        </w:rPr>
        <w:t>Оператор персональных данных (ОПД)</w:t>
      </w:r>
      <w:r>
        <w:rPr>
          <w:color w:val="222222"/>
        </w:rPr>
        <w:t xml:space="preserve"> должен уведомить Роскомнадзор о своем намерении обрабатывать перс. данные до начала их обработки (ст. 22 Федерального закона</w:t>
      </w:r>
      <w:r>
        <w:fldChar w:fldCharType="begin"/>
      </w:r>
      <w:r>
        <w:instrText xml:space="preserve"> HYPERLINK "https://normativ.kontur.ru/document?moduleId=1&amp;documentId=395751&amp;p=1210&amp;utm_source=yandex&amp;utm_medium=organic&amp;utm_referer=yandex.ru&amp;utm_startpage=www.kontur-extern.ru%2Finfo%2F25487-kto_i_kogda_dolzhen_uvedomit_roskomnadzor_ob_obrabotke_personaln&amp;utm_orderpage=www.kontur-extern.ru%2Finfo%2F25487-kto_i_kogda_dolzhen_uvedomit_roskomnadzor_ob_obrabotke_personaln" </w:instrText>
      </w:r>
      <w:r>
        <w:fldChar w:fldCharType="separate"/>
      </w:r>
      <w:r>
        <w:rPr>
          <w:rStyle w:val="11"/>
          <w:rFonts w:ascii="Times New Roman" w:hAnsi="Times New Roman" w:cs="Times New Roman"/>
        </w:rPr>
        <w:t xml:space="preserve"> от 27.07.2006 № 152-ФЗ</w:t>
      </w:r>
      <w:r>
        <w:rPr>
          <w:rStyle w:val="11"/>
          <w:rFonts w:ascii="Times New Roman" w:hAnsi="Times New Roman" w:cs="Times New Roman"/>
        </w:rPr>
        <w:fldChar w:fldCharType="end"/>
      </w:r>
      <w:r>
        <w:rPr>
          <w:color w:val="222222"/>
        </w:rPr>
        <w:t xml:space="preserve">). С 1 сентября 2022 года уведомлять не нужно только в трех случаях (Федеральный закон </w:t>
      </w:r>
      <w:r>
        <w:fldChar w:fldCharType="begin"/>
      </w:r>
      <w:r>
        <w:instrText xml:space="preserve"> HYPERLINK "https://normativ.kontur.ru/document?moduleId=1&amp;documentId=427423&amp;p=1210&amp;utm_source=yandex&amp;utm_medium=organic&amp;utm_referer=yandex.ru&amp;utm_startpage=www.kontur-extern.ru%2Finfo%2F25487-kto_i_kogda_dolzhen_uvedomit_roskomnadzor_ob_obrabotke_personaln&amp;utm_orderpage=www.kontur-extern.ru%2Finfo%2F25487-kto_i_kogda_dolzhen_uvedomit_roskomnadzor_ob_obrabotke_personaln" </w:instrText>
      </w:r>
      <w:r>
        <w:fldChar w:fldCharType="separate"/>
      </w:r>
      <w:r>
        <w:rPr>
          <w:rStyle w:val="11"/>
          <w:rFonts w:ascii="Times New Roman" w:hAnsi="Times New Roman" w:cs="Times New Roman"/>
        </w:rPr>
        <w:t>от 14.07.2022 № 266-ФЗ</w:t>
      </w:r>
      <w:r>
        <w:rPr>
          <w:rStyle w:val="11"/>
          <w:rFonts w:ascii="Times New Roman" w:hAnsi="Times New Roman" w:cs="Times New Roman"/>
        </w:rPr>
        <w:fldChar w:fldCharType="end"/>
      </w:r>
      <w:r>
        <w:rPr>
          <w:color w:val="222222"/>
        </w:rPr>
        <w:t>):</w:t>
      </w:r>
    </w:p>
    <w:p w14:paraId="467B3EE7"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before="100" w:beforeAutospacing="1" w:after="100" w:afterAutospacing="1" w:line="273" w:lineRule="auto"/>
        <w:ind w:left="284" w:hanging="284"/>
        <w:jc w:val="both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ascii="Times New Roman" w:hAnsi="Times New Roman" w:eastAsia="Calibri" w:cs="Times New Roman"/>
          <w:color w:val="222222"/>
          <w:sz w:val="24"/>
          <w:szCs w:val="24"/>
        </w:rPr>
        <w:t>оператор обрабатывает персональные данные без автоматизации;</w:t>
      </w:r>
    </w:p>
    <w:p w14:paraId="40447B75"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before="100" w:beforeAutospacing="1" w:after="100" w:afterAutospacing="1" w:line="273" w:lineRule="auto"/>
        <w:ind w:left="284" w:hanging="284"/>
        <w:jc w:val="both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ascii="Times New Roman" w:hAnsi="Times New Roman" w:eastAsia="Calibri" w:cs="Times New Roman"/>
          <w:color w:val="222222"/>
          <w:sz w:val="24"/>
          <w:szCs w:val="24"/>
        </w:rPr>
        <w:t>персональные данные включены в государственные информационные системы, созданные в целях защиты безопасности государства и общественного порядка;</w:t>
      </w:r>
    </w:p>
    <w:p w14:paraId="24F19BE6">
      <w:pPr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before="100" w:beforeAutospacing="1" w:after="100" w:afterAutospacing="1" w:line="273" w:lineRule="auto"/>
        <w:ind w:left="284" w:hanging="284"/>
        <w:jc w:val="both"/>
        <w:rPr>
          <w:rFonts w:ascii="Times New Roman" w:hAnsi="Times New Roman" w:eastAsia="Calibri" w:cs="Times New Roman"/>
          <w:color w:val="222222"/>
          <w:sz w:val="24"/>
          <w:szCs w:val="24"/>
        </w:rPr>
      </w:pPr>
      <w:r>
        <w:rPr>
          <w:rFonts w:ascii="Times New Roman" w:hAnsi="Times New Roman" w:eastAsia="Calibri" w:cs="Times New Roman"/>
          <w:color w:val="222222"/>
          <w:sz w:val="24"/>
          <w:szCs w:val="24"/>
        </w:rPr>
        <w:t>обработка персональных данных в случаях, предусмотренных законодательством РФ о транспортной безопасности.</w:t>
      </w:r>
    </w:p>
    <w:p w14:paraId="74F9E069">
      <w:pPr>
        <w:pStyle w:val="6"/>
        <w:shd w:val="clear" w:color="auto" w:fill="FFFFFF"/>
        <w:jc w:val="both"/>
        <w:rPr>
          <w:color w:val="222222"/>
        </w:rPr>
      </w:pPr>
      <w:r>
        <w:rPr>
          <w:color w:val="222222"/>
        </w:rPr>
        <w:t>Это означает, что подавляющее большинство ОПД, в том числе все работодатели, должны будут уведомить Роскомнадзор. До выполнения этой обязанности они не имеют права работать с личной информацией граждан.</w:t>
      </w:r>
    </w:p>
    <w:p w14:paraId="2FBCD02A">
      <w:pPr>
        <w:pStyle w:val="6"/>
        <w:shd w:val="clear" w:color="auto" w:fill="FFFFFF"/>
        <w:jc w:val="both"/>
        <w:rPr>
          <w:color w:val="000000"/>
        </w:rPr>
      </w:pPr>
      <w:r>
        <w:rPr>
          <w:color w:val="222222"/>
        </w:rPr>
        <w:t xml:space="preserve">Форма уведомления приведена в приложении 1 к Методическим рекомендациям Роскомнадзора (Приказ </w:t>
      </w:r>
      <w:r>
        <w:rPr>
          <w:color w:val="000000"/>
        </w:rPr>
        <w:t xml:space="preserve">Роскомнадзора </w:t>
      </w:r>
      <w:r>
        <w:fldChar w:fldCharType="begin"/>
      </w:r>
      <w:r>
        <w:instrText xml:space="preserve"> HYPERLINK "https://normativ.kontur.ru/document?moduleId=8&amp;documentId=299400&amp;p=1210&amp;utm_source=yandex&amp;utm_medium=organic&amp;utm_referer=yandex.ru&amp;utm_startpage=www.kontur-extern.ru%2Finfo%2F25487-kto_i_kogda_dolzhen_uvedomit_roskomnadzor_ob_obrabotke_personaln&amp;utm_orderpage=www.kontur-extern.ru%2Finfo%2F25487-kto_i_kogda_dolzhen_uvedomit_roskomnadzor_ob_obrabotke_personaln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000000"/>
        </w:rPr>
        <w:t>от 30.05.2017 № 94</w:t>
      </w:r>
      <w:r>
        <w:rPr>
          <w:rStyle w:val="11"/>
          <w:rFonts w:ascii="Times New Roman" w:hAnsi="Times New Roman" w:cs="Times New Roman"/>
          <w:color w:val="000000"/>
        </w:rPr>
        <w:fldChar w:fldCharType="end"/>
      </w:r>
      <w:r>
        <w:rPr>
          <w:color w:val="000000"/>
        </w:rPr>
        <w:t>). Уведомление нужно направить одним из трех способов:</w:t>
      </w:r>
    </w:p>
    <w:p w14:paraId="170F7077"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1. Сформировать уведомление и направить в бумажном виде</w:t>
      </w:r>
    </w:p>
    <w:p w14:paraId="0C5B73A0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 можете заполнить форму, распечатать и отправить в территориальный орган. Форма по ссылке </w:t>
      </w:r>
      <w:r>
        <w:fldChar w:fldCharType="begin"/>
      </w:r>
      <w:r>
        <w:instrText xml:space="preserve"> HYPERLINK "https://pd.rkn.gov.ru/operators-registry/notification/form/"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https://pd.rkn.gov.ru/operators-registry/notification/form/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66481ED"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2. Сформировать уведомление и направить в электронном виде с использованием усиленной квалифицированной электронной подписи</w:t>
      </w:r>
    </w:p>
    <w:p w14:paraId="47E8A20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 можете заполнить форму и подписать ее электронной подписью. В этом случае подача в бумажном виде не потребуется. У вас должен быть установлен плагин </w:t>
      </w:r>
      <w:r>
        <w:fldChar w:fldCharType="begin"/>
      </w:r>
      <w:r>
        <w:instrText xml:space="preserve"> HYPERLINK "https://www.cryptopro.ru/products/cades/plugin"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9A5DC"/>
          <w:sz w:val="24"/>
          <w:szCs w:val="24"/>
          <w:u w:val="single"/>
          <w:lang w:eastAsia="ru-RU"/>
        </w:rPr>
        <w:t>КриптоПро ЭЦП Browser plug-in</w:t>
      </w:r>
      <w:r>
        <w:rPr>
          <w:rFonts w:ascii="Times New Roman" w:hAnsi="Times New Roman" w:eastAsia="Times New Roman" w:cs="Times New Roman"/>
          <w:color w:val="29A5DC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и настроена работа с ним. Форма по ссылке: </w:t>
      </w:r>
      <w:r>
        <w:fldChar w:fldCharType="begin"/>
      </w:r>
      <w:r>
        <w:instrText xml:space="preserve"> HYPERLINK "https://pd.rkn.gov.ru/operators-registry/notification/updateform/"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https://pd.rkn.gov.ru/operators-registry/notification/updateform/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E91C63C">
      <w:pPr>
        <w:spacing w:after="0" w:line="240" w:lineRule="auto"/>
        <w:outlineLvl w:val="1"/>
        <w:rPr>
          <w:rFonts w:ascii="Times New Roman" w:hAnsi="Times New Roman" w:eastAsia="Times New Roman" w:cs="Times New Roman"/>
          <w:color w:val="29A5DC"/>
          <w:sz w:val="24"/>
          <w:szCs w:val="24"/>
          <w:lang w:eastAsia="ru-RU"/>
        </w:rPr>
      </w:pPr>
    </w:p>
    <w:p w14:paraId="7A955508"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 Сформировать уведомление и направить в электронном виде с использованием средств аутентификации ЕСИА</w:t>
      </w:r>
    </w:p>
    <w:p w14:paraId="56B84628">
      <w:pPr>
        <w:spacing w:before="150"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Пройти аутентификацию на портале Госуслуг, заполнить форму и направить ее в электронном виде. У Вас должна быть подтвержденная учетная запись. Отправка копии в бумажном виде в данном случае не потребуется. В случае если Вы подаете уведомление за организацию, ваша учетная запись должна быть привязана к данной организации на портале Госуслуг по ссылке </w:t>
      </w:r>
      <w:r>
        <w:fldChar w:fldCharType="begin"/>
      </w:r>
      <w:r>
        <w:instrText xml:space="preserve"> HYPERLINK "https://esia.gosuslugi.ru/login/"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https://esia.gosuslugi.ru/login/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6EC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заполнения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уведомления об обработке (о намерении осуществлять обработку) персональных данных по ссылке </w:t>
      </w:r>
      <w:r>
        <w:fldChar w:fldCharType="begin"/>
      </w:r>
      <w:r>
        <w:instrText xml:space="preserve"> HYPERLINK "https://pd.rkn.gov.ru/docs/Uvedomlenie_ob_obrabotke.pdf"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shd w:val="clear" w:color="auto" w:fill="FFFFFF"/>
        </w:rPr>
        <w:t>https://pd.rkn.gov.ru/docs/Uvedomlenie_ob_obrabotke.pdf</w:t>
      </w:r>
      <w:r>
        <w:rPr>
          <w:rStyle w:val="5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6554508">
      <w:pPr>
        <w:pStyle w:val="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Роскомнадзор в течение 30 дней с даты поступления уведомления вносит информацию в </w:t>
      </w:r>
      <w:r>
        <w:fldChar w:fldCharType="begin"/>
      </w:r>
      <w:r>
        <w:instrText xml:space="preserve"> HYPERLINK "https://pd.rkn.gov.ru/operators-registry/operators-list/"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000000"/>
        </w:rPr>
        <w:t>реестр операторов персональных данных</w:t>
      </w:r>
      <w:r>
        <w:rPr>
          <w:rStyle w:val="11"/>
          <w:rFonts w:ascii="Times New Roman" w:hAnsi="Times New Roman" w:cs="Times New Roman"/>
          <w:color w:val="000000"/>
        </w:rPr>
        <w:fldChar w:fldCharType="end"/>
      </w:r>
      <w:r>
        <w:rPr>
          <w:color w:val="000000"/>
        </w:rPr>
        <w:t>. Если вы отправляли бумажное, а не электронное письмо с УКЭП, дата будет отсчитываться с момента его получения территориальным отделением.</w:t>
      </w:r>
    </w:p>
    <w:p w14:paraId="53878A9F">
      <w:pPr>
        <w:pStyle w:val="6"/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Уведомление Роскомнадзора — разовая акция. </w:t>
      </w:r>
      <w:r>
        <w:rPr>
          <w:color w:val="000000"/>
        </w:rPr>
        <w:t>Если ваша компания уже есть в реестре, подавать заявку повторно не нужно. Но вам следует проверить сведения, которые есть в Роскомнадзоре.</w:t>
      </w:r>
      <w:r>
        <w:rPr>
          <w:b/>
          <w:bCs/>
          <w:color w:val="000000"/>
          <w:highlight w:val="none"/>
        </w:rPr>
        <w:t xml:space="preserve"> Важно обратить внимание на актуализацию сведений, если организация была включена в реестр до 2022 г.</w:t>
      </w:r>
      <w:r>
        <w:rPr>
          <w:color w:val="000000"/>
        </w:rPr>
        <w:t xml:space="preserve"> В частности, категории ПД и категории субъектов ПД, которые вы указывали в ранее поданном уведомлении. Если какие-то виды личной информации отсутствуют, например, из трудовых правоотношений, то нужно уведомить Роскомнадзор об изменении сведений (п. 7 ст. 22 </w:t>
      </w:r>
      <w:r>
        <w:fldChar w:fldCharType="begin"/>
      </w:r>
      <w:r>
        <w:instrText xml:space="preserve"> HYPERLINK "https://normativ.kontur.ru/document?moduleId=1&amp;documentId=395751&amp;p=1210&amp;utm_source=yandex&amp;utm_medium=organic&amp;utm_referer=yandex.ru&amp;utm_startpage=www.kontur-extern.ru%2Finfo%2F25487-kto_i_kogda_dolzhen_uvedomit_roskomnadzor_ob_obrabotke_personaln&amp;utm_orderpage=www.kontur-extern.ru%2Finfo%2F25487-kto_i_kogda_dolzhen_uvedomit_roskomnadzor_ob_obrabotke_personaln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000000"/>
        </w:rPr>
        <w:t>152-ФЗ</w:t>
      </w:r>
      <w:r>
        <w:rPr>
          <w:rStyle w:val="11"/>
          <w:rFonts w:ascii="Times New Roman" w:hAnsi="Times New Roman" w:cs="Times New Roman"/>
          <w:color w:val="000000"/>
        </w:rPr>
        <w:fldChar w:fldCharType="end"/>
      </w:r>
      <w:r>
        <w:rPr>
          <w:color w:val="000000"/>
        </w:rPr>
        <w:t>).</w:t>
      </w:r>
    </w:p>
    <w:p w14:paraId="208F6E3F">
      <w:pPr>
        <w:pStyle w:val="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Информационное письмо о корректировке сведений в реестре направляют </w:t>
      </w:r>
      <w:r>
        <w:fldChar w:fldCharType="begin"/>
      </w:r>
      <w:r>
        <w:instrText xml:space="preserve"> HYPERLINK "https://pd.rkn.gov.ru/operators-registry/notification/updateform/"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000000"/>
        </w:rPr>
        <w:t>теми же способами</w:t>
      </w:r>
      <w:r>
        <w:rPr>
          <w:rStyle w:val="11"/>
          <w:rFonts w:ascii="Times New Roman" w:hAnsi="Times New Roman" w:cs="Times New Roman"/>
          <w:color w:val="000000"/>
        </w:rPr>
        <w:fldChar w:fldCharType="end"/>
      </w:r>
      <w:r>
        <w:rPr>
          <w:color w:val="000000"/>
        </w:rPr>
        <w:t xml:space="preserve">, что и уведомление. Это нужно сделать до 15-го числа (включительно) месяца, следующего за месяцем изменений (п. 7 ст. 22 </w:t>
      </w:r>
      <w:r>
        <w:fldChar w:fldCharType="begin"/>
      </w:r>
      <w:r>
        <w:instrText xml:space="preserve"> HYPERLINK "https://normativ.kontur.ru/document?moduleId=1&amp;documentId=476043&amp;rangeId=6549105&amp;p=1210&amp;utm_source=yandex&amp;utm_medium=organic&amp;utm_referer=yandex.ru&amp;utm_startpage=www.kontur-extern.ru%2Finfo%2F25487-kto_i_kogda_dolzhen_uvedomit_roskomnadzor_ob_obrabotke_personaln&amp;utm_orderpage=www.kontur-extern.ru%2Finfo%2F25487-kto_i_kogda_dolzhen_uvedomit_roskomnadzor_ob_obrabotke_personaln" </w:instrText>
      </w:r>
      <w:r>
        <w:fldChar w:fldCharType="separate"/>
      </w:r>
      <w:r>
        <w:rPr>
          <w:rStyle w:val="11"/>
          <w:rFonts w:ascii="Times New Roman" w:hAnsi="Times New Roman" w:cs="Times New Roman"/>
          <w:color w:val="000000"/>
        </w:rPr>
        <w:t>152-ФЗ</w:t>
      </w:r>
      <w:r>
        <w:rPr>
          <w:rStyle w:val="11"/>
          <w:rFonts w:ascii="Times New Roman" w:hAnsi="Times New Roman" w:cs="Times New Roman"/>
          <w:color w:val="000000"/>
        </w:rPr>
        <w:fldChar w:fldCharType="end"/>
      </w:r>
      <w:r>
        <w:rPr>
          <w:color w:val="000000"/>
        </w:rPr>
        <w:t>).</w:t>
      </w:r>
    </w:p>
    <w:p w14:paraId="56EB7935">
      <w:pPr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u w:val="single"/>
        </w:rPr>
        <w:t>Основные документы НКО для работы с персональными данными.</w:t>
      </w:r>
    </w:p>
    <w:p w14:paraId="6ECAEE47"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Исчерпывающего пакета не существует. Каждая организация должна разрабатывать свой пакет документов, соответствующий ее особенностям и требованиям законодательства. Но есть ключевые </w:t>
      </w:r>
      <w:r>
        <w:rPr>
          <w:rFonts w:ascii="Times New Roman" w:hAnsi="Times New Roman" w:eastAsia="Calibri" w:cs="Times New Roman"/>
          <w:sz w:val="24"/>
          <w:szCs w:val="24"/>
        </w:rPr>
        <w:t>документы, которые должны быть обязательно.</w:t>
      </w:r>
    </w:p>
    <w:p w14:paraId="57C732ED"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Минимальный перечень необходимых документов формируется исходя из требований ст.ст. 18.1 и 19.1 ФЗ «О персональных данных», в которых закреплены обязанности операторов ПДн.</w:t>
      </w:r>
    </w:p>
    <w:p w14:paraId="46E811A0">
      <w:pPr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1.Приказ о назначении ответственного за обработку ПДн.</w:t>
      </w:r>
    </w:p>
    <w:p w14:paraId="5EA1E513">
      <w:pPr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2. Политика обработки ПДн.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(Документ должен называть именно «Политика обработки персональных данных» («Политика конфиденциальности», «Политика информационной безопасности» - называть нельзя).</w:t>
      </w:r>
    </w:p>
    <w:p w14:paraId="632CA713">
      <w:pPr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3. Положение об обработка ПДн.</w:t>
      </w:r>
    </w:p>
    <w:p w14:paraId="240AD2FE">
      <w:pPr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4. Согласие на обработку ПДн.</w:t>
      </w:r>
    </w:p>
    <w:p w14:paraId="2FCDD019">
      <w:pPr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Согласие на распространение ПДн. </w:t>
      </w:r>
    </w:p>
    <w:p w14:paraId="1971B88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 Иные документы в сфере обработки ПДн:</w:t>
      </w:r>
    </w:p>
    <w:p w14:paraId="2D698B75">
      <w:pPr>
        <w:numPr>
          <w:ilvl w:val="0"/>
          <w:numId w:val="2"/>
        </w:numPr>
        <w:tabs>
          <w:tab w:val="left" w:pos="567"/>
          <w:tab w:val="left" w:pos="31680"/>
          <w:tab w:val="clear" w:pos="0"/>
          <w:tab w:val="clear" w:pos="540"/>
          <w:tab w:val="clear" w:pos="720"/>
        </w:tabs>
        <w:spacing w:before="100" w:beforeAutospacing="1" w:after="100" w:afterAutospacing="1" w:line="273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 проверок и журнал учета проверок: документы, подтверждающие осуществление внутреннего контроля ответственным за обработку ПДн</w:t>
      </w:r>
    </w:p>
    <w:p w14:paraId="34855DC9">
      <w:pPr>
        <w:numPr>
          <w:ilvl w:val="0"/>
          <w:numId w:val="2"/>
        </w:numPr>
        <w:tabs>
          <w:tab w:val="left" w:pos="567"/>
          <w:tab w:val="clear" w:pos="720"/>
        </w:tabs>
        <w:spacing w:before="100" w:beforeAutospacing="1" w:after="100" w:afterAutospacing="1" w:line="273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Журнал ознакомления работников с требованиями законодательства и локальных актов в сфере обработки ПДн</w:t>
      </w:r>
    </w:p>
    <w:p w14:paraId="6DCB4824">
      <w:pPr>
        <w:numPr>
          <w:ilvl w:val="0"/>
          <w:numId w:val="2"/>
        </w:numPr>
        <w:tabs>
          <w:tab w:val="left" w:pos="567"/>
          <w:tab w:val="clear" w:pos="720"/>
        </w:tabs>
        <w:spacing w:before="100" w:beforeAutospacing="1" w:after="100" w:afterAutospacing="1" w:line="273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о допуске работников к обработке ПДн</w:t>
      </w:r>
    </w:p>
    <w:p w14:paraId="20A4AF4B">
      <w:pPr>
        <w:numPr>
          <w:ilvl w:val="0"/>
          <w:numId w:val="2"/>
        </w:numPr>
        <w:tabs>
          <w:tab w:val="left" w:pos="567"/>
          <w:tab w:val="clear" w:pos="720"/>
        </w:tabs>
        <w:spacing w:before="100" w:beforeAutospacing="1" w:after="100" w:afterAutospacing="1" w:line="273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об утверждении списка помещений, в которых хранятся и обрабатываются ПДн</w:t>
      </w:r>
    </w:p>
    <w:p w14:paraId="07BBD8D0">
      <w:pPr>
        <w:numPr>
          <w:ilvl w:val="0"/>
          <w:numId w:val="2"/>
        </w:numPr>
        <w:tabs>
          <w:tab w:val="left" w:pos="567"/>
          <w:tab w:val="clear" w:pos="720"/>
        </w:tabs>
        <w:spacing w:before="100" w:beforeAutospacing="1" w:after="100" w:afterAutospacing="1" w:line="273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Инструкции пользователей информационной системы ПДн</w:t>
      </w:r>
    </w:p>
    <w:p w14:paraId="6F870A52">
      <w:pPr>
        <w:numPr>
          <w:ilvl w:val="0"/>
          <w:numId w:val="2"/>
        </w:numPr>
        <w:tabs>
          <w:tab w:val="left" w:pos="567"/>
          <w:tab w:val="clear" w:pos="720"/>
        </w:tabs>
        <w:spacing w:before="100" w:beforeAutospacing="1" w:after="100" w:afterAutospacing="1" w:line="273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Инструкция по антивирусному обеспечению</w:t>
      </w:r>
    </w:p>
    <w:p w14:paraId="0918345F">
      <w:pPr>
        <w:numPr>
          <w:ilvl w:val="0"/>
          <w:numId w:val="2"/>
        </w:numPr>
        <w:tabs>
          <w:tab w:val="left" w:pos="567"/>
          <w:tab w:val="clear" w:pos="720"/>
        </w:tabs>
        <w:spacing w:before="100" w:beforeAutospacing="1" w:after="100" w:afterAutospacing="1" w:line="273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Журнал учета обращений субъектов ПДн</w:t>
      </w:r>
    </w:p>
    <w:p w14:paraId="7990EA23">
      <w:pPr>
        <w:numPr>
          <w:ilvl w:val="0"/>
          <w:numId w:val="2"/>
        </w:numPr>
        <w:tabs>
          <w:tab w:val="left" w:pos="567"/>
          <w:tab w:val="clear" w:pos="720"/>
        </w:tabs>
        <w:spacing w:before="100" w:beforeAutospacing="1" w:after="100" w:afterAutospacing="1" w:line="273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 уничтожения ПДн</w:t>
      </w:r>
    </w:p>
    <w:p w14:paraId="516AAE02">
      <w:pPr>
        <w:numPr>
          <w:ilvl w:val="0"/>
          <w:numId w:val="2"/>
        </w:numPr>
        <w:tabs>
          <w:tab w:val="left" w:pos="567"/>
          <w:tab w:val="clear" w:pos="720"/>
        </w:tabs>
        <w:spacing w:before="100" w:beforeAutospacing="1" w:after="100" w:afterAutospacing="1" w:line="273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Журнал учета посетителей (не обязателен)</w:t>
      </w:r>
    </w:p>
    <w:p w14:paraId="191705E2">
      <w:pPr>
        <w:numPr>
          <w:ilvl w:val="0"/>
          <w:numId w:val="2"/>
        </w:numPr>
        <w:tabs>
          <w:tab w:val="left" w:pos="567"/>
          <w:tab w:val="clear" w:pos="720"/>
        </w:tabs>
        <w:spacing w:before="100" w:beforeAutospacing="1" w:after="100" w:afterAutospacing="1" w:line="273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по установке средств защиты информации и проч.</w:t>
      </w:r>
    </w:p>
    <w:p w14:paraId="782409C9"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Если не подать уведомления в Роскомнадзор до 30.05.2025 г. </w:t>
      </w:r>
      <w:r>
        <w:rPr>
          <w:rFonts w:ascii="Times New Roman" w:hAnsi="Times New Roman" w:eastAsia="Calibri" w:cs="Times New Roman"/>
          <w:b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b/>
          <w:sz w:val="24"/>
          <w:szCs w:val="24"/>
        </w:rPr>
        <w:t>штрафные санкции вам обеспечены:</w:t>
      </w:r>
    </w:p>
    <w:tbl>
      <w:tblPr>
        <w:tblStyle w:val="7"/>
        <w:tblW w:w="955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1186"/>
        <w:gridCol w:w="5245"/>
        <w:gridCol w:w="2331"/>
      </w:tblGrid>
      <w:tr w14:paraId="2475D4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6A1B7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FBAB9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часть ст. 13.11</w:t>
            </w:r>
          </w:p>
        </w:tc>
        <w:tc>
          <w:tcPr>
            <w:tcW w:w="524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267E5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Требование</w:t>
            </w:r>
          </w:p>
        </w:tc>
        <w:tc>
          <w:tcPr>
            <w:tcW w:w="233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8D91F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Сумма штрафа для НКО</w:t>
            </w:r>
          </w:p>
        </w:tc>
      </w:tr>
      <w:tr w14:paraId="3AAAA0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E7154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379440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ч.10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EE045A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 не направление или несвоевременное направление уведомления о намерении начать обработку персональных данных (на должностное лицо)</w:t>
            </w:r>
          </w:p>
        </w:tc>
        <w:tc>
          <w:tcPr>
            <w:tcW w:w="23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D452C3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от 30-50 тыс. руб.</w:t>
            </w:r>
          </w:p>
        </w:tc>
      </w:tr>
      <w:tr w14:paraId="61DB0A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563FC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296694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ч.10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D2BFD4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 не направление или несвоевременное направление уведомления о намерении начать обработку персональных данных (на юридиеское лицо)</w:t>
            </w:r>
          </w:p>
        </w:tc>
        <w:tc>
          <w:tcPr>
            <w:tcW w:w="23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48A32E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от 100-300 тыс. руб</w:t>
            </w:r>
          </w:p>
        </w:tc>
      </w:tr>
      <w:tr w14:paraId="16F9FE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46C5E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7CCA5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ч. 11 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8F20CB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 не уведомление Роскомнадзора об утечке</w:t>
            </w:r>
          </w:p>
        </w:tc>
        <w:tc>
          <w:tcPr>
            <w:tcW w:w="23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196DF1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от 400-800 тыс. руб.</w:t>
            </w:r>
          </w:p>
        </w:tc>
      </w:tr>
      <w:tr w14:paraId="59EDC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A6322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82B495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ч. 12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18FAB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Утечка персональных данных от 1000 до 10000 субъектов и/иди 10000 100000 идентификаторов</w:t>
            </w:r>
          </w:p>
        </w:tc>
        <w:tc>
          <w:tcPr>
            <w:tcW w:w="23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F863ED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от 200-400тыс. руб.</w:t>
            </w:r>
          </w:p>
        </w:tc>
      </w:tr>
      <w:tr w14:paraId="696E86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482FF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17C47C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ч.13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89FE5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Утечка персональных данных от 10000 до 100000 и/или 100000 до 1000000 идентификаторов </w:t>
            </w:r>
          </w:p>
        </w:tc>
        <w:tc>
          <w:tcPr>
            <w:tcW w:w="23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5E1D9A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от 300-500 тыс. руб.</w:t>
            </w:r>
          </w:p>
        </w:tc>
      </w:tr>
      <w:tr w14:paraId="799757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D5C79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33F78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ч.14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F19DD3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Утечка персональных данных от 100000 до 1000000 и/или более 1000000 идентификаторов </w:t>
            </w:r>
          </w:p>
        </w:tc>
        <w:tc>
          <w:tcPr>
            <w:tcW w:w="23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DFA44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от 400-600 тыс. руб.</w:t>
            </w:r>
          </w:p>
        </w:tc>
      </w:tr>
      <w:tr w14:paraId="1A6D97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DB93C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10B439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ч.15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A9320D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Если оператор уже подвергался административному взысканию по ч. 12-14 и вновь произошла утечка</w:t>
            </w:r>
          </w:p>
        </w:tc>
        <w:tc>
          <w:tcPr>
            <w:tcW w:w="23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239AE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от 800 -1,2 млн. руб.</w:t>
            </w:r>
          </w:p>
        </w:tc>
      </w:tr>
      <w:tr w14:paraId="7DDE5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F1861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4B61F1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ч.16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CCC9F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Утечка специальных категорий персональных данных</w:t>
            </w:r>
          </w:p>
        </w:tc>
        <w:tc>
          <w:tcPr>
            <w:tcW w:w="23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C27BB5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от 1-1,3 млн. руб.</w:t>
            </w:r>
          </w:p>
        </w:tc>
      </w:tr>
      <w:tr w14:paraId="5BF787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5ADE0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510B82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ч.17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431C1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Утечка биометрических персональных данных</w:t>
            </w:r>
          </w:p>
        </w:tc>
        <w:tc>
          <w:tcPr>
            <w:tcW w:w="23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21FFC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от 1,3-1,5 млн. руб.</w:t>
            </w:r>
          </w:p>
        </w:tc>
      </w:tr>
      <w:tr w14:paraId="31DABC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D91BB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7AB3A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ч.18</w:t>
            </w:r>
          </w:p>
        </w:tc>
        <w:tc>
          <w:tcPr>
            <w:tcW w:w="524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7DC761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Если оператор уже подвергнут административному наказанию по ч.12-17 и происходит утечка спец. категорий или биометрических данных</w:t>
            </w:r>
          </w:p>
        </w:tc>
        <w:tc>
          <w:tcPr>
            <w:tcW w:w="233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BDC5D0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от 1,5-2 млн. руб.</w:t>
            </w:r>
          </w:p>
        </w:tc>
      </w:tr>
    </w:tbl>
    <w:p w14:paraId="5D83285E">
      <w:pPr>
        <w:rPr>
          <w:rFonts w:ascii="Times New Roman" w:hAnsi="Times New Roman" w:eastAsia="Calibri" w:cs="Times New Roman"/>
          <w:sz w:val="14"/>
          <w:szCs w:val="24"/>
        </w:rPr>
      </w:pPr>
      <w:r>
        <w:rPr>
          <w:rFonts w:ascii="Times New Roman" w:hAnsi="Times New Roman" w:eastAsia="Calibri" w:cs="Times New Roman"/>
          <w:sz w:val="14"/>
          <w:szCs w:val="24"/>
        </w:rPr>
        <w:t xml:space="preserve"> </w:t>
      </w:r>
    </w:p>
    <w:p w14:paraId="589509E1"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 кем связаться по вопросам уведомления об обработке персональных данных:</w:t>
      </w:r>
    </w:p>
    <w:p w14:paraId="4EF0A6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Региональное отделение Роскомнадзора в РХ: </w:t>
      </w:r>
      <w:r>
        <w:rPr>
          <w:rFonts w:ascii="Times New Roman" w:hAnsi="Times New Roman" w:cs="Times New Roman"/>
          <w:b/>
          <w:sz w:val="24"/>
          <w:szCs w:val="24"/>
        </w:rPr>
        <w:t>8(3902) 24-80-07 доп. 205</w:t>
      </w:r>
    </w:p>
    <w:p w14:paraId="221904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Региональное отделение Роскомнадзора в Красноярском крае: </w:t>
      </w:r>
      <w:r>
        <w:rPr>
          <w:rFonts w:ascii="Times New Roman" w:hAnsi="Times New Roman" w:cs="Times New Roman"/>
          <w:b/>
          <w:sz w:val="24"/>
          <w:szCs w:val="24"/>
        </w:rPr>
        <w:t>8(391) 234-71-61</w:t>
      </w:r>
    </w:p>
    <w:p w14:paraId="20285C07">
      <w:pPr>
        <w:rPr>
          <w:rFonts w:ascii="Times New Roman" w:hAnsi="Times New Roman" w:cs="Times New Roman"/>
          <w:b/>
          <w:sz w:val="24"/>
          <w:szCs w:val="24"/>
        </w:rPr>
      </w:pPr>
    </w:p>
    <w:p w14:paraId="61D1A3B6">
      <w:p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Презентация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«Персональные данные: актуальные вопросы в 2025 году»  по ссылке </w:t>
      </w: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instrText xml:space="preserve"> HYPERLINK "https://oprh.ru/upload/iblock/6d3/Personalnye-dannye-2025.pdf" </w:instrText>
      </w: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fldChar w:fldCharType="separate"/>
      </w:r>
      <w:r>
        <w:rPr>
          <w:rStyle w:val="5"/>
          <w:rFonts w:hint="default" w:ascii="Times New Roman" w:hAnsi="Times New Roman"/>
          <w:b w:val="0"/>
          <w:bCs/>
          <w:sz w:val="24"/>
          <w:szCs w:val="24"/>
          <w:lang w:val="ru-RU"/>
        </w:rPr>
        <w:t>https://oprh.ru/upload/iblock/6d3/Personalnye-dannye-2025.pdf</w:t>
      </w: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t xml:space="preserve"> </w:t>
      </w: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226944"/>
    <w:multiLevelType w:val="multilevel"/>
    <w:tmpl w:val="20226944"/>
    <w:lvl w:ilvl="0" w:tentative="0">
      <w:start w:val="1"/>
      <w:numFmt w:val="bullet"/>
      <w:lvlText w:val=""/>
      <w:lvlJc w:val="left"/>
      <w:pPr>
        <w:tabs>
          <w:tab w:val="left" w:pos="0"/>
          <w:tab w:val="left" w:pos="540"/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  <w:tab w:val="left" w:pos="1080"/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  <w:tab w:val="left" w:pos="1620"/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  <w:tab w:val="left" w:pos="2160"/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  <w:tab w:val="left" w:pos="2700"/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  <w:tab w:val="left" w:pos="3240"/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  <w:tab w:val="left" w:pos="3780"/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  <w:tab w:val="left" w:pos="4320"/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  <w:tab w:val="left" w:pos="4860"/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6D15FA3"/>
    <w:multiLevelType w:val="multilevel"/>
    <w:tmpl w:val="56D15FA3"/>
    <w:lvl w:ilvl="0" w:tentative="0">
      <w:start w:val="1"/>
      <w:numFmt w:val="bullet"/>
      <w:lvlText w:val=""/>
      <w:lvlJc w:val="left"/>
      <w:pPr>
        <w:tabs>
          <w:tab w:val="left" w:pos="0"/>
          <w:tab w:val="left" w:pos="540"/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  <w:tab w:val="left" w:pos="1080"/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  <w:tab w:val="left" w:pos="1620"/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0"/>
          <w:tab w:val="left" w:pos="2160"/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0"/>
          <w:tab w:val="left" w:pos="2700"/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0"/>
          <w:tab w:val="left" w:pos="3240"/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0"/>
          <w:tab w:val="left" w:pos="3780"/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0"/>
          <w:tab w:val="left" w:pos="4320"/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0"/>
          <w:tab w:val="left" w:pos="4860"/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C8"/>
    <w:rsid w:val="002F393E"/>
    <w:rsid w:val="003B53D1"/>
    <w:rsid w:val="0044260E"/>
    <w:rsid w:val="00442CE8"/>
    <w:rsid w:val="00465A7A"/>
    <w:rsid w:val="004D07B9"/>
    <w:rsid w:val="00581953"/>
    <w:rsid w:val="005A58E5"/>
    <w:rsid w:val="006A3AEE"/>
    <w:rsid w:val="006E3C04"/>
    <w:rsid w:val="006F7644"/>
    <w:rsid w:val="007666EF"/>
    <w:rsid w:val="008447C8"/>
    <w:rsid w:val="008D04AE"/>
    <w:rsid w:val="00901A73"/>
    <w:rsid w:val="009F4A0B"/>
    <w:rsid w:val="00B93BF0"/>
    <w:rsid w:val="00BC7BD3"/>
    <w:rsid w:val="00D83034"/>
    <w:rsid w:val="00DC3BB4"/>
    <w:rsid w:val="00DD6710"/>
    <w:rsid w:val="00E24629"/>
    <w:rsid w:val="00E6073B"/>
    <w:rsid w:val="00E9165C"/>
    <w:rsid w:val="5119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4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0">
    <w:name w:val="hand"/>
    <w:basedOn w:val="3"/>
    <w:uiPriority w:val="0"/>
  </w:style>
  <w:style w:type="character" w:customStyle="1" w:styleId="11">
    <w:name w:val="15"/>
    <w:basedOn w:val="3"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1627</Words>
  <Characters>9280</Characters>
  <Lines>77</Lines>
  <Paragraphs>21</Paragraphs>
  <TotalTime>14</TotalTime>
  <ScaleCrop>false</ScaleCrop>
  <LinksUpToDate>false</LinksUpToDate>
  <CharactersWithSpaces>10886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2025-05-13T04:18:00Z</dcterms:created>
  <dc:creator>User</dc:creator>
  <cp:lastModifiedBy>User</cp:lastModifiedBy>
  <dcterms:modified xsi:type="dcterms:W3CDTF">2025-05-19T07:34:20Z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0EA8E6B233F74297A8D56844A667EE71_12</vt:lpwstr>
  </property>
</Properties>
</file>