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C8" w:rsidRDefault="008843D2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Любая НКО является оператором персональных данных.  Вы — оператор, если получаете от клиентов: ФИО, номер телефона, паспортные данные, адрес или email и другую информацию, позволяющую </w:t>
      </w:r>
      <w:r>
        <w:rPr>
          <w:rFonts w:ascii="Times New Roman" w:eastAsia="Calibri" w:hAnsi="Times New Roman" w:cs="Times New Roman"/>
          <w:b/>
          <w:sz w:val="24"/>
          <w:szCs w:val="24"/>
        </w:rPr>
        <w:t>идентифицировать человека.</w:t>
      </w:r>
    </w:p>
    <w:p w:rsidR="000568C8" w:rsidRDefault="008843D2">
      <w:pPr>
        <w:ind w:firstLineChars="275"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30 мая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операторы должны быть в реестре. Если уведомления нет – могут запросить объяснение, назначить проверку или привлечь к административной ответственности (возможен штраф до 300 тыс. руб.).</w:t>
      </w:r>
    </w:p>
    <w:p w:rsidR="000568C8" w:rsidRDefault="008843D2">
      <w:pPr>
        <w:ind w:firstLineChars="275"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Организации необходи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уведомить территориальный орган Роскомнадзора до начала обработки персональных данных сотрудников и клиентов. Если направить уведомление в Роскомнадзор с момента начала обработки данных с прошедшего периода штрафных санкций не будет.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Наличие в компании </w:t>
      </w:r>
      <w:r>
        <w:rPr>
          <w:rFonts w:ascii="Times New Roman" w:eastAsia="Calibri" w:hAnsi="Times New Roman" w:cs="Times New Roman"/>
          <w:sz w:val="24"/>
          <w:szCs w:val="24"/>
        </w:rPr>
        <w:t>одного сотрудника, руководителя от подачи уведомления в Роскомнадзор не освобождает.</w:t>
      </w:r>
    </w:p>
    <w:p w:rsidR="000568C8" w:rsidRDefault="008843D2">
      <w:pPr>
        <w:shd w:val="clear" w:color="auto" w:fill="FFFFFF"/>
        <w:ind w:firstLineChars="275" w:firstLine="6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НКО, как и любое другое юридическое лицо, является оператором персональных данных с момента фактического начала их обработки (любое действие (операция) или совокупность де</w:t>
      </w:r>
      <w:r>
        <w:rPr>
          <w:rFonts w:ascii="Times New Roman" w:hAnsi="Times New Roman" w:cs="Times New Roman"/>
          <w:color w:val="000000"/>
          <w:sz w:val="24"/>
          <w:szCs w:val="24"/>
        </w:rPr>
        <w:t>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</w:t>
      </w:r>
      <w:r>
        <w:rPr>
          <w:rFonts w:ascii="Times New Roman" w:hAnsi="Times New Roman" w:cs="Times New Roman"/>
          <w:color w:val="000000"/>
          <w:sz w:val="24"/>
          <w:szCs w:val="24"/>
        </w:rPr>
        <w:t>едачу (распространение, предоставление, доступ), обезличивание, блокирование, удаление, уничтожение персональных данных).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Существует распространенное заблуждение, что НКО становятся операторами персональных данных с момента направления в Федеральную службу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надзору в сфере связи, информационных технологий и массовых коммуникаций (Роскомнадзор) уведомления об обработке персональных данных, которое предусмотрено ст. 22 ФЗ «О персональных данных». С точки зрения закона это неверно, т.к. все обязанности опера</w:t>
      </w:r>
      <w:r>
        <w:rPr>
          <w:rFonts w:ascii="Times New Roman" w:hAnsi="Times New Roman" w:cs="Times New Roman"/>
          <w:color w:val="000000"/>
          <w:sz w:val="24"/>
          <w:szCs w:val="24"/>
        </w:rPr>
        <w:t>тора персональных данных возникают у НКО фактически с момента создания организации, поскольку уже в это время она начинает обрабатывать персональные данные своих учредителей, членов, работников и т.д.</w:t>
      </w:r>
    </w:p>
    <w:p w:rsidR="000568C8" w:rsidRDefault="008843D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Посмотреть, есть ли ваша организация в реестре оператор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ов, осуществляющих обработку персональных данных, можно по ссылке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https://pd.rkn.gov.ru/operators-registry/operators-list/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68C8" w:rsidRDefault="008843D2">
      <w:pPr>
        <w:pStyle w:val="a4"/>
        <w:shd w:val="clear" w:color="auto" w:fill="FFFFFF"/>
        <w:jc w:val="both"/>
        <w:rPr>
          <w:color w:val="222222"/>
        </w:rPr>
      </w:pPr>
      <w:r>
        <w:rPr>
          <w:b/>
          <w:color w:val="222222"/>
          <w:u w:val="single"/>
        </w:rPr>
        <w:t>Оператор персональных данных (ОПД)</w:t>
      </w:r>
      <w:r>
        <w:rPr>
          <w:color w:val="222222"/>
        </w:rPr>
        <w:t xml:space="preserve"> должен уведомить Роскомнадзор о своем намерении обрабатывать перс. данные до начала их обработки (ст. 22 Федерального закона</w:t>
      </w:r>
      <w:hyperlink r:id="rId8" w:history="1">
        <w:r>
          <w:rPr>
            <w:rStyle w:val="15"/>
            <w:rFonts w:ascii="Times New Roman" w:hAnsi="Times New Roman" w:cs="Times New Roman"/>
          </w:rPr>
          <w:t xml:space="preserve"> от 27.07.200</w:t>
        </w:r>
        <w:r>
          <w:rPr>
            <w:rStyle w:val="15"/>
            <w:rFonts w:ascii="Times New Roman" w:hAnsi="Times New Roman" w:cs="Times New Roman"/>
          </w:rPr>
          <w:t>6 № 152-ФЗ</w:t>
        </w:r>
      </w:hyperlink>
      <w:r>
        <w:rPr>
          <w:color w:val="222222"/>
        </w:rPr>
        <w:t xml:space="preserve">). С 1 сентября 2022 года уведомлять не нужно только в трех случаях (Федеральный закон </w:t>
      </w:r>
      <w:hyperlink r:id="rId9" w:history="1">
        <w:r>
          <w:rPr>
            <w:rStyle w:val="15"/>
            <w:rFonts w:ascii="Times New Roman" w:hAnsi="Times New Roman" w:cs="Times New Roman"/>
          </w:rPr>
          <w:t>от 14.07.2022 № 266-ФЗ</w:t>
        </w:r>
      </w:hyperlink>
      <w:r>
        <w:rPr>
          <w:color w:val="222222"/>
        </w:rPr>
        <w:t>):</w:t>
      </w:r>
    </w:p>
    <w:p w:rsidR="000568C8" w:rsidRDefault="008843D2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73" w:lineRule="auto"/>
        <w:ind w:left="284" w:hanging="284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оператор о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брабатывает персональные данные без автоматизации;</w:t>
      </w:r>
    </w:p>
    <w:p w:rsidR="000568C8" w:rsidRDefault="008843D2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73" w:lineRule="auto"/>
        <w:ind w:left="284" w:hanging="284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персональные данные включены в государственные информационные системы, созданные в целях защиты безопасности государства и общественного порядка;</w:t>
      </w:r>
    </w:p>
    <w:p w:rsidR="000568C8" w:rsidRDefault="008843D2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73" w:lineRule="auto"/>
        <w:ind w:left="284" w:hanging="284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обработка персональных данных в случаях, предусмотренных за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конодательством РФ о транспортной безопасности.</w:t>
      </w:r>
    </w:p>
    <w:p w:rsidR="000568C8" w:rsidRDefault="008843D2">
      <w:pPr>
        <w:pStyle w:val="a4"/>
        <w:shd w:val="clear" w:color="auto" w:fill="FFFFFF"/>
        <w:jc w:val="both"/>
        <w:rPr>
          <w:color w:val="222222"/>
        </w:rPr>
      </w:pPr>
      <w:r>
        <w:rPr>
          <w:color w:val="222222"/>
        </w:rPr>
        <w:t>Это означает, что подавляющее большинство ОПД, в том числе все работодатели, должны будут уведомить Роскомнадзор. До выполнения этой обязанности они не имеют права работать с личной информацией граждан.</w:t>
      </w:r>
    </w:p>
    <w:p w:rsidR="000568C8" w:rsidRDefault="008843D2">
      <w:pPr>
        <w:pStyle w:val="a4"/>
        <w:shd w:val="clear" w:color="auto" w:fill="FFFFFF"/>
        <w:jc w:val="both"/>
        <w:rPr>
          <w:color w:val="000000"/>
        </w:rPr>
      </w:pPr>
      <w:r>
        <w:rPr>
          <w:color w:val="222222"/>
        </w:rPr>
        <w:t>Форма</w:t>
      </w:r>
      <w:r>
        <w:rPr>
          <w:color w:val="222222"/>
        </w:rPr>
        <w:t xml:space="preserve"> уведомления приведена в приложении 1 к Методическим рекомендациям Роскомнадзора (Приказ </w:t>
      </w:r>
      <w:r>
        <w:rPr>
          <w:color w:val="000000"/>
        </w:rPr>
        <w:t xml:space="preserve">Роскомнадзора </w:t>
      </w:r>
      <w:hyperlink r:id="rId10" w:history="1">
        <w:r>
          <w:rPr>
            <w:rStyle w:val="15"/>
            <w:rFonts w:ascii="Times New Roman" w:hAnsi="Times New Roman" w:cs="Times New Roman"/>
            <w:color w:val="000000"/>
          </w:rPr>
          <w:t>от 30.05.2017 № 94</w:t>
        </w:r>
      </w:hyperlink>
      <w:r>
        <w:rPr>
          <w:color w:val="000000"/>
        </w:rPr>
        <w:t>). Уведомление</w:t>
      </w:r>
      <w:r>
        <w:rPr>
          <w:color w:val="000000"/>
        </w:rPr>
        <w:t xml:space="preserve"> нужно направить одним из трех способов:</w:t>
      </w:r>
    </w:p>
    <w:p w:rsidR="000568C8" w:rsidRDefault="008843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Сформировать уведомление и направить в бумажном виде</w:t>
      </w:r>
    </w:p>
    <w:p w:rsidR="000568C8" w:rsidRDefault="008843D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можете заполнить форму, распечатать и отправить в территориальный орган. Форма по ссылке </w:t>
      </w:r>
      <w:hyperlink r:id="rId1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https://pd.rkn.gov.ru/operators-registry/notification/form/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68C8" w:rsidRDefault="008843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Сформировать уведомление и направить в электронном виде с использованием усиленной квалифицированной электронной подписи</w:t>
      </w:r>
    </w:p>
    <w:p w:rsidR="000568C8" w:rsidRDefault="0088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заполнить форму и подписать ее электронной подписью. В этом случае подача в бумажном виде не потребуется. У вас должен быть установлен плагин </w:t>
      </w:r>
      <w:hyperlink r:id="rId12" w:history="1">
        <w:r>
          <w:rPr>
            <w:rFonts w:ascii="Times New Roman" w:eastAsia="Times New Roman" w:hAnsi="Times New Roman" w:cs="Times New Roman"/>
            <w:color w:val="29A5DC"/>
            <w:sz w:val="24"/>
            <w:szCs w:val="24"/>
            <w:u w:val="single"/>
            <w:lang w:eastAsia="ru-RU"/>
          </w:rPr>
          <w:t>КриптоПро ЭЦП Browser plug-in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настроена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 с ним. Форма по ссылке: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https://pd.rkn.gov.ru/operators-registry/notification/updateform/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68C8" w:rsidRDefault="000568C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9A5DC"/>
          <w:sz w:val="24"/>
          <w:szCs w:val="24"/>
          <w:lang w:eastAsia="ru-RU"/>
        </w:rPr>
      </w:pPr>
    </w:p>
    <w:p w:rsidR="000568C8" w:rsidRDefault="008843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Сформировать уведомление и направить в электронном виде с использованием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 аутентификации ЕСИА</w:t>
      </w:r>
    </w:p>
    <w:p w:rsidR="000568C8" w:rsidRDefault="008843D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аутентификацию на портале Госуслуг, заполнить форму и направить ее в электронном виде. У Вас должна быть подтвержденная учетная запись. Отправка копии в бумажном виде в данном случае не потребуется. В случае если Вы подае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уведомление за организацию, ваша учетная запись должна быть привязана к данной организации на портале Госуслуг по ссылке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https://esia.gosuslugi.ru/login/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68C8" w:rsidRDefault="00884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заполнения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уведомления об обработке (о нам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ерении осуществлять обработку) персональных данных по ссылке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https://pd.rkn.gov.ru/docs/Uvedomlenie_ob_obrabotke.pdf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568C8" w:rsidRDefault="008843D2">
      <w:pPr>
        <w:pStyle w:val="a4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Роскомнадзор в течение 30 дней с даты поступления уведомления вносит информацию в </w:t>
      </w:r>
      <w:hyperlink r:id="rId16" w:history="1">
        <w:r>
          <w:rPr>
            <w:rStyle w:val="15"/>
            <w:rFonts w:ascii="Times New Roman" w:hAnsi="Times New Roman" w:cs="Times New Roman"/>
            <w:color w:val="000000"/>
          </w:rPr>
          <w:t>реестр операторов персональных данных</w:t>
        </w:r>
      </w:hyperlink>
      <w:r>
        <w:rPr>
          <w:color w:val="000000"/>
        </w:rPr>
        <w:t>. Если вы отправляли бумажное, а не электронное письмо с УКЭП, д</w:t>
      </w:r>
      <w:r>
        <w:rPr>
          <w:color w:val="000000"/>
        </w:rPr>
        <w:t>ата будет отсчитываться с момента его получения территориальным отделением.</w:t>
      </w:r>
    </w:p>
    <w:p w:rsidR="000568C8" w:rsidRDefault="008843D2">
      <w:pPr>
        <w:pStyle w:val="a4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Уведомление Роскомнадзора — разовая акция. </w:t>
      </w:r>
      <w:r>
        <w:rPr>
          <w:color w:val="000000"/>
        </w:rPr>
        <w:t>Если ваша компания уже есть в реестре, подавать заявку повторно не нужно. Но вам следует проверить сведения, которые есть в Роскомнадзоре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Важно обратить внимание на актуализацию сведений, если организация была включена в реестр до 2022 г.</w:t>
      </w:r>
      <w:r>
        <w:rPr>
          <w:color w:val="000000"/>
        </w:rPr>
        <w:t xml:space="preserve"> В частности, категории ПД и категории субъектов ПД, которые вы указывали в ранее поданном уведомлении. Если какие-то виды личной информации отсутствуют, </w:t>
      </w:r>
      <w:r>
        <w:rPr>
          <w:color w:val="000000"/>
        </w:rPr>
        <w:t xml:space="preserve">например, из трудовых правоотношений, то нужно уведомить Роскомнадзор об изменении сведений (п. 7 ст. 22 </w:t>
      </w:r>
      <w:hyperlink r:id="rId17" w:history="1">
        <w:r>
          <w:rPr>
            <w:rStyle w:val="15"/>
            <w:rFonts w:ascii="Times New Roman" w:hAnsi="Times New Roman" w:cs="Times New Roman"/>
            <w:color w:val="000000"/>
          </w:rPr>
          <w:t>152-ФЗ</w:t>
        </w:r>
      </w:hyperlink>
      <w:r>
        <w:rPr>
          <w:color w:val="000000"/>
        </w:rPr>
        <w:t>).</w:t>
      </w:r>
    </w:p>
    <w:p w:rsidR="000568C8" w:rsidRDefault="008843D2">
      <w:pPr>
        <w:pStyle w:val="a4"/>
        <w:shd w:val="clear" w:color="auto" w:fill="FFFFFF"/>
        <w:jc w:val="both"/>
        <w:rPr>
          <w:color w:val="000000"/>
        </w:rPr>
      </w:pPr>
      <w:r>
        <w:rPr>
          <w:color w:val="000000"/>
        </w:rPr>
        <w:t>Информационное письмо</w:t>
      </w:r>
      <w:r>
        <w:rPr>
          <w:color w:val="000000"/>
        </w:rPr>
        <w:t xml:space="preserve"> о корректировке сведений в реестре направляют </w:t>
      </w:r>
      <w:hyperlink r:id="rId18" w:history="1">
        <w:r>
          <w:rPr>
            <w:rStyle w:val="15"/>
            <w:rFonts w:ascii="Times New Roman" w:hAnsi="Times New Roman" w:cs="Times New Roman"/>
            <w:color w:val="000000"/>
          </w:rPr>
          <w:t>теми же способами</w:t>
        </w:r>
      </w:hyperlink>
      <w:r>
        <w:rPr>
          <w:color w:val="000000"/>
        </w:rPr>
        <w:t>, что и уведомление. Это нужно сделать до 15-го числа (включительно) месяца, следующего за месяцем изменений (</w:t>
      </w:r>
      <w:r>
        <w:rPr>
          <w:color w:val="000000"/>
        </w:rPr>
        <w:t xml:space="preserve">п. 7 ст. 22 </w:t>
      </w:r>
      <w:hyperlink r:id="rId19" w:history="1">
        <w:r>
          <w:rPr>
            <w:rStyle w:val="15"/>
            <w:rFonts w:ascii="Times New Roman" w:hAnsi="Times New Roman" w:cs="Times New Roman"/>
            <w:color w:val="000000"/>
          </w:rPr>
          <w:t>152-ФЗ</w:t>
        </w:r>
      </w:hyperlink>
      <w:r>
        <w:rPr>
          <w:color w:val="000000"/>
        </w:rPr>
        <w:t>).</w:t>
      </w:r>
    </w:p>
    <w:p w:rsidR="000568C8" w:rsidRDefault="008843D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Основные документы НКО для работы с персональными данными.</w:t>
      </w:r>
    </w:p>
    <w:p w:rsidR="000568C8" w:rsidRDefault="008843D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Исчерпывающего пакета не существует. Каждая организация должна разрабатывать свой пакет документов, соответствующий ее особенностям и требованиям законодательства. Но есть ключевые </w:t>
      </w:r>
      <w:r>
        <w:rPr>
          <w:rFonts w:ascii="Times New Roman" w:eastAsia="Calibri" w:hAnsi="Times New Roman" w:cs="Times New Roman"/>
          <w:sz w:val="24"/>
          <w:szCs w:val="24"/>
        </w:rPr>
        <w:t>документы, которые должны быть обязательно.</w:t>
      </w:r>
    </w:p>
    <w:p w:rsidR="000568C8" w:rsidRDefault="008843D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Минимальный перечень необходимы</w:t>
      </w:r>
      <w:r>
        <w:rPr>
          <w:rFonts w:ascii="Times New Roman" w:eastAsia="Calibri" w:hAnsi="Times New Roman" w:cs="Times New Roman"/>
          <w:sz w:val="24"/>
          <w:szCs w:val="24"/>
        </w:rPr>
        <w:t>х документов формируется исходя из требований ст.ст. 18.1 и 19.1 ФЗ «О персональных данных», в которых закреплены обязанности операторов ПДн.</w:t>
      </w:r>
    </w:p>
    <w:p w:rsidR="000568C8" w:rsidRDefault="008843D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1.Приказ о назначении ответственного за обработку ПДн.</w:t>
      </w:r>
    </w:p>
    <w:p w:rsidR="000568C8" w:rsidRDefault="008843D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Политика обработки ПДн.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(Документ должен называть именно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«Политика обработки персональных данных» («Политика конфиденциальности», «Политика информационной безопасности» - называть нельзя).</w:t>
      </w:r>
    </w:p>
    <w:p w:rsidR="000568C8" w:rsidRDefault="008843D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Положение об обработка ПДн.</w:t>
      </w:r>
    </w:p>
    <w:p w:rsidR="000568C8" w:rsidRDefault="008843D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Согласие на обработку ПДн.</w:t>
      </w:r>
    </w:p>
    <w:p w:rsidR="000568C8" w:rsidRDefault="008843D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Согласие на распространение ПДн. </w:t>
      </w:r>
    </w:p>
    <w:p w:rsidR="000568C8" w:rsidRDefault="008843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 Иные документы в сфере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обработки ПДн:</w:t>
      </w:r>
    </w:p>
    <w:p w:rsidR="000568C8" w:rsidRDefault="008843D2">
      <w:pPr>
        <w:numPr>
          <w:ilvl w:val="0"/>
          <w:numId w:val="2"/>
        </w:numPr>
        <w:tabs>
          <w:tab w:val="clear" w:pos="0"/>
          <w:tab w:val="clear" w:pos="540"/>
          <w:tab w:val="clear" w:pos="720"/>
          <w:tab w:val="left" w:pos="567"/>
          <w:tab w:val="left" w:pos="31680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План проверок и журнал учета проверок: документы, подтверждающие осуществление внутреннего контроля ответственным за обработку ПДн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Журнал ознакомления работников с требованиями законодательства и локальных актов в сфере обработки ПДн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о допуске работников к обработке ПДн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об утверждении списка помещений, в которых хранятся и обрабатываются ПДн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Инструкции пользователей информационной системы ПДн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по антивирусному обеспечению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Журнал учета обращений субъектов ПДн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уничтожения ПДн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Журнал учета посетителей (не обязателен)</w:t>
      </w:r>
    </w:p>
    <w:p w:rsidR="000568C8" w:rsidRDefault="008843D2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73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Документы по установке средств защиты информации и проч.</w:t>
      </w:r>
    </w:p>
    <w:p w:rsidR="000568C8" w:rsidRDefault="008843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Если не подать уведомления в Роскомнадзор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штрафные санкции вам обеспечены:</w:t>
      </w:r>
    </w:p>
    <w:tbl>
      <w:tblPr>
        <w:tblStyle w:val="a5"/>
        <w:tblW w:w="95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186"/>
        <w:gridCol w:w="5245"/>
        <w:gridCol w:w="2331"/>
      </w:tblGrid>
      <w:tr w:rsidR="000568C8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ст. 13.11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23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штрафа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НКО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ч.10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не направление или несвоевременное направление уведомления о намерении начать обработку персональных данных (на должностное лицо)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30-50 тыс. 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ч.10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не направление или несвоевременное направление уведомления о намерении начать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обработку персональных данных (на юридиеское лицо)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100-300 тыс. руб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ч. 11 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не уведомление Роскомнадзора об утечке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400-800 тыс. 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 12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Утечка персональных данных от 1000 до 10000 субъектов и/иди 10000 100000 идентификаторов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200-400тыс.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ч.13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Утечка персональных данных от 10000 до 100000 и/или 100000 до 1000000 идентификаторов 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300-500 тыс. 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ч.14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Утечка персональных данных от 100000 до 1000000 и/или более 1000000 идентификаторов 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400-600 тыс. 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ч.15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оператор уже подвергался административному взысканию по ч. 12-14 и вновь произошла утечка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800 -1,2 млн. 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ч.16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Утечка специальных категорий персональных данных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1-1,3 млн. 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ч.17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Утечка биометрических персональных данных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1,3-1,5 млн.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568C8">
        <w:tc>
          <w:tcPr>
            <w:tcW w:w="7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ч.18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Если оператор уже подвергнут административному наказанию по ч.12-17 и происходит утечка спец. категорий или биометрических данных</w:t>
            </w:r>
          </w:p>
        </w:tc>
        <w:tc>
          <w:tcPr>
            <w:tcW w:w="2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68C8" w:rsidRDefault="0088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1,5-2 млн. руб.</w:t>
            </w:r>
          </w:p>
        </w:tc>
      </w:tr>
    </w:tbl>
    <w:p w:rsidR="000568C8" w:rsidRDefault="008843D2">
      <w:pPr>
        <w:rPr>
          <w:rFonts w:ascii="Times New Roman" w:eastAsia="Calibri" w:hAnsi="Times New Roman" w:cs="Times New Roman"/>
          <w:sz w:val="14"/>
          <w:szCs w:val="24"/>
        </w:rPr>
      </w:pPr>
      <w:r>
        <w:rPr>
          <w:rFonts w:ascii="Times New Roman" w:eastAsia="Calibri" w:hAnsi="Times New Roman" w:cs="Times New Roman"/>
          <w:sz w:val="14"/>
          <w:szCs w:val="24"/>
        </w:rPr>
        <w:t xml:space="preserve"> </w:t>
      </w:r>
    </w:p>
    <w:p w:rsidR="000568C8" w:rsidRDefault="008843D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 кем связаться по вопросам уведомления об обработке персональных данных:</w:t>
      </w:r>
    </w:p>
    <w:p w:rsidR="000568C8" w:rsidRDefault="00884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Региональное отд</w:t>
      </w:r>
      <w:r>
        <w:rPr>
          <w:rFonts w:ascii="Times New Roman" w:hAnsi="Times New Roman" w:cs="Times New Roman"/>
          <w:sz w:val="24"/>
          <w:szCs w:val="24"/>
        </w:rPr>
        <w:t xml:space="preserve">еление Роскомнадзора в РХ: </w:t>
      </w:r>
      <w:r>
        <w:rPr>
          <w:rFonts w:ascii="Times New Roman" w:hAnsi="Times New Roman" w:cs="Times New Roman"/>
          <w:b/>
          <w:sz w:val="24"/>
          <w:szCs w:val="24"/>
        </w:rPr>
        <w:t>8(3902) 24-80-07 доп. 205</w:t>
      </w:r>
    </w:p>
    <w:p w:rsidR="000568C8" w:rsidRDefault="00884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Региональное отделение Роскомнадзора в Красноярском крае: </w:t>
      </w:r>
      <w:r>
        <w:rPr>
          <w:rFonts w:ascii="Times New Roman" w:hAnsi="Times New Roman" w:cs="Times New Roman"/>
          <w:b/>
          <w:sz w:val="24"/>
          <w:szCs w:val="24"/>
        </w:rPr>
        <w:t>8(391) 234-71-61</w:t>
      </w:r>
    </w:p>
    <w:p w:rsidR="000568C8" w:rsidRDefault="000568C8">
      <w:pPr>
        <w:rPr>
          <w:rFonts w:ascii="Times New Roman" w:hAnsi="Times New Roman" w:cs="Times New Roman"/>
          <w:b/>
          <w:sz w:val="24"/>
          <w:szCs w:val="24"/>
        </w:rPr>
      </w:pPr>
    </w:p>
    <w:p w:rsidR="000568C8" w:rsidRDefault="008843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«Персональные данные: актуальные вопросы в 2025 году»  по ссылке </w:t>
      </w:r>
      <w:hyperlink r:id="rId20" w:history="1">
        <w:r>
          <w:rPr>
            <w:rStyle w:val="a3"/>
            <w:rFonts w:ascii="Times New Roman" w:hAnsi="Times New Roman"/>
            <w:bCs/>
            <w:sz w:val="24"/>
            <w:szCs w:val="24"/>
          </w:rPr>
          <w:t>https</w:t>
        </w:r>
        <w:bookmarkStart w:id="0" w:name="_GoBack"/>
        <w:bookmarkEnd w:id="0"/>
        <w:r>
          <w:rPr>
            <w:rStyle w:val="a3"/>
            <w:rFonts w:ascii="Times New Roman" w:hAnsi="Times New Roman"/>
            <w:bCs/>
            <w:sz w:val="24"/>
            <w:szCs w:val="24"/>
          </w:rPr>
          <w:t>://oprh.ru/upload/iblock/6d3/Personalnye-dannye-2025.pdf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sectPr w:rsidR="000568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D2" w:rsidRDefault="008843D2">
      <w:pPr>
        <w:spacing w:line="240" w:lineRule="auto"/>
      </w:pPr>
      <w:r>
        <w:separator/>
      </w:r>
    </w:p>
  </w:endnote>
  <w:endnote w:type="continuationSeparator" w:id="0">
    <w:p w:rsidR="008843D2" w:rsidRDefault="00884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D2" w:rsidRDefault="008843D2">
      <w:pPr>
        <w:spacing w:after="0"/>
      </w:pPr>
      <w:r>
        <w:separator/>
      </w:r>
    </w:p>
  </w:footnote>
  <w:footnote w:type="continuationSeparator" w:id="0">
    <w:p w:rsidR="008843D2" w:rsidRDefault="008843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26944"/>
    <w:multiLevelType w:val="multilevel"/>
    <w:tmpl w:val="2022694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15FA3"/>
    <w:multiLevelType w:val="multilevel"/>
    <w:tmpl w:val="56D15FA3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C8"/>
    <w:rsid w:val="000568C8"/>
    <w:rsid w:val="001F2A7B"/>
    <w:rsid w:val="002F393E"/>
    <w:rsid w:val="0035372A"/>
    <w:rsid w:val="003B53D1"/>
    <w:rsid w:val="0044260E"/>
    <w:rsid w:val="00442CE8"/>
    <w:rsid w:val="00465A7A"/>
    <w:rsid w:val="004D07B9"/>
    <w:rsid w:val="00581953"/>
    <w:rsid w:val="005A58E5"/>
    <w:rsid w:val="006A3AEE"/>
    <w:rsid w:val="006E3C04"/>
    <w:rsid w:val="006F7644"/>
    <w:rsid w:val="007666EF"/>
    <w:rsid w:val="008447C8"/>
    <w:rsid w:val="008843D2"/>
    <w:rsid w:val="008D04AE"/>
    <w:rsid w:val="00901A73"/>
    <w:rsid w:val="009F4A0B"/>
    <w:rsid w:val="00B93BF0"/>
    <w:rsid w:val="00BC7BD3"/>
    <w:rsid w:val="00D83034"/>
    <w:rsid w:val="00DC3BB4"/>
    <w:rsid w:val="00DD6710"/>
    <w:rsid w:val="00E24629"/>
    <w:rsid w:val="00E6073B"/>
    <w:rsid w:val="00E9165C"/>
    <w:rsid w:val="511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20D87-6E8B-48D8-B974-9BF740D0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and">
    <w:name w:val="hand"/>
    <w:basedOn w:val="a0"/>
  </w:style>
  <w:style w:type="character" w:customStyle="1" w:styleId="15">
    <w:name w:val="15"/>
    <w:basedOn w:val="a0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5751&amp;p=1210&amp;utm_source=yandex&amp;utm_medium=organic&amp;utm_referer=yandex.ru&amp;utm_startpage=www.kontur-extern.ru%2Finfo%2F25487-kto_i_kogda_dolzhen_uvedomit_roskomnadzor_ob_obrabotke_personaln&amp;utm_orderpage=www.kontur-extern.ru%2Finfo%2F25487-kto_i_kogda_dolzhen_uvedomit_roskomnadzor_ob_obrabotke_personaln" TargetMode="External"/><Relationship Id="rId13" Type="http://schemas.openxmlformats.org/officeDocument/2006/relationships/hyperlink" Target="https://pd.rkn.gov.ru/operators-registry/notification/updateform/" TargetMode="External"/><Relationship Id="rId18" Type="http://schemas.openxmlformats.org/officeDocument/2006/relationships/hyperlink" Target="https://pd.rkn.gov.ru/operators-registry/notification/updatefor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d.rkn.gov.ru/operators-registry/operators-list/" TargetMode="External"/><Relationship Id="rId12" Type="http://schemas.openxmlformats.org/officeDocument/2006/relationships/hyperlink" Target="https://www.cryptopro.ru/products/cades/plugin" TargetMode="External"/><Relationship Id="rId17" Type="http://schemas.openxmlformats.org/officeDocument/2006/relationships/hyperlink" Target="https://normativ.kontur.ru/document?moduleId=1&amp;documentId=395751&amp;p=1210&amp;utm_source=yandex&amp;utm_medium=organic&amp;utm_referer=yandex.ru&amp;utm_startpage=www.kontur-extern.ru%2Finfo%2F25487-kto_i_kogda_dolzhen_uvedomit_roskomnadzor_ob_obrabotke_personaln&amp;utm_orderpage=www.kontur-extern.ru%2Finfo%2F25487-kto_i_kogda_dolzhen_uvedomit_roskomnadzor_ob_obrabotke_personal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d.rkn.gov.ru/operators-registry/operators-list/" TargetMode="External"/><Relationship Id="rId20" Type="http://schemas.openxmlformats.org/officeDocument/2006/relationships/hyperlink" Target="https://oprh.ru/upload/iblock/6d3/Personalnye-dannye-202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.rkn.gov.ru/operators-registry/notification/for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d.rkn.gov.ru/docs/Uvedomlenie_ob_obrabotke.pdf" TargetMode="External"/><Relationship Id="rId10" Type="http://schemas.openxmlformats.org/officeDocument/2006/relationships/hyperlink" Target="https://normativ.kontur.ru/document?moduleId=8&amp;documentId=299400&amp;p=1210&amp;utm_source=yandex&amp;utm_medium=organic&amp;utm_referer=yandex.ru&amp;utm_startpage=www.kontur-extern.ru%2Finfo%2F25487-kto_i_kogda_dolzhen_uvedomit_roskomnadzor_ob_obrabotke_personaln&amp;utm_orderpage=www.kontur-extern.ru%2Finfo%2F25487-kto_i_kogda_dolzhen_uvedomit_roskomnadzor_ob_obrabotke_personaln" TargetMode="External"/><Relationship Id="rId19" Type="http://schemas.openxmlformats.org/officeDocument/2006/relationships/hyperlink" Target="https://normativ.kontur.ru/document?moduleId=1&amp;documentId=476043&amp;rangeId=6549105&amp;p=1210&amp;utm_source=yandex&amp;utm_medium=organic&amp;utm_referer=yandex.ru&amp;utm_startpage=www.kontur-extern.ru%2Finfo%2F25487-kto_i_kogda_dolzhen_uvedomit_roskomnadzor_ob_obrabotke_personaln&amp;utm_orderpage=www.kontur-extern.ru%2Finfo%2F25487-kto_i_kogda_dolzhen_uvedomit_roskomnadzor_ob_obrabotke_personal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27423&amp;p=1210&amp;utm_source=yandex&amp;utm_medium=organic&amp;utm_referer=yandex.ru&amp;utm_startpage=www.kontur-extern.ru%2Finfo%2F25487-kto_i_kogda_dolzhen_uvedomit_roskomnadzor_ob_obrabotke_personaln&amp;utm_orderpage=www.kontur-extern.ru%2Finfo%2F25487-kto_i_kogda_dolzhen_uvedomit_roskomnadzor_ob_obrabotke_personaln" TargetMode="External"/><Relationship Id="rId14" Type="http://schemas.openxmlformats.org/officeDocument/2006/relationships/hyperlink" Target="https://esia.gosuslugi.ru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2026-04-10T05:01:00Z</dcterms:created>
  <dcterms:modified xsi:type="dcterms:W3CDTF">2026-04-10T05:02:00Z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0EA8E6B233F74297A8D56844A667EE71_12</vt:lpwstr>
  </property>
</Properties>
</file>